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80707" w14:textId="77777777" w:rsidR="00056E65" w:rsidRDefault="002E4EBD">
      <w:r>
        <w:rPr>
          <w:noProof/>
        </w:rPr>
        <w:drawing>
          <wp:anchor distT="0" distB="0" distL="114300" distR="114300" simplePos="0" relativeHeight="251658240" behindDoc="0" locked="0" layoutInCell="1" hidden="0" allowOverlap="1" wp14:anchorId="3CE269A4" wp14:editId="54FB9CC2">
            <wp:simplePos x="0" y="0"/>
            <wp:positionH relativeFrom="column">
              <wp:posOffset>1781810</wp:posOffset>
            </wp:positionH>
            <wp:positionV relativeFrom="paragraph">
              <wp:posOffset>-334643</wp:posOffset>
            </wp:positionV>
            <wp:extent cx="2379980" cy="122936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379980" cy="1229360"/>
                    </a:xfrm>
                    <a:prstGeom prst="rect">
                      <a:avLst/>
                    </a:prstGeom>
                    <a:ln/>
                  </pic:spPr>
                </pic:pic>
              </a:graphicData>
            </a:graphic>
          </wp:anchor>
        </w:drawing>
      </w:r>
    </w:p>
    <w:tbl>
      <w:tblPr>
        <w:tblStyle w:val="a"/>
        <w:tblpPr w:leftFromText="180" w:rightFromText="180" w:vertAnchor="text" w:tblpY="1"/>
        <w:tblW w:w="3240" w:type="dxa"/>
        <w:tblLayout w:type="fixed"/>
        <w:tblLook w:val="0000" w:firstRow="0" w:lastRow="0" w:firstColumn="0" w:lastColumn="0" w:noHBand="0" w:noVBand="0"/>
      </w:tblPr>
      <w:tblGrid>
        <w:gridCol w:w="3240"/>
      </w:tblGrid>
      <w:tr w:rsidR="00056E65" w14:paraId="77C727AD" w14:textId="77777777">
        <w:trPr>
          <w:trHeight w:val="963"/>
        </w:trPr>
        <w:tc>
          <w:tcPr>
            <w:tcW w:w="3240" w:type="dxa"/>
            <w:tcMar>
              <w:left w:w="331" w:type="dxa"/>
              <w:right w:w="115" w:type="dxa"/>
            </w:tcMar>
          </w:tcPr>
          <w:p w14:paraId="31327534" w14:textId="77777777" w:rsidR="00056E65" w:rsidRDefault="00056E65">
            <w:pPr>
              <w:rPr>
                <w:sz w:val="18"/>
                <w:szCs w:val="18"/>
              </w:rPr>
            </w:pPr>
          </w:p>
        </w:tc>
      </w:tr>
    </w:tbl>
    <w:p w14:paraId="2E4A053F" w14:textId="77777777" w:rsidR="00056E65" w:rsidRDefault="00056E65">
      <w:pPr>
        <w:jc w:val="center"/>
        <w:rPr>
          <w:rFonts w:ascii="Garamond" w:eastAsia="Garamond" w:hAnsi="Garamond" w:cs="Garamond"/>
          <w:sz w:val="30"/>
          <w:szCs w:val="30"/>
        </w:rPr>
      </w:pPr>
    </w:p>
    <w:p w14:paraId="68B7FCDA" w14:textId="77777777" w:rsidR="00056E65" w:rsidRDefault="00056E65">
      <w:pPr>
        <w:jc w:val="center"/>
        <w:rPr>
          <w:rFonts w:ascii="Garamond" w:eastAsia="Garamond" w:hAnsi="Garamond" w:cs="Garamond"/>
          <w:sz w:val="30"/>
          <w:szCs w:val="30"/>
        </w:rPr>
      </w:pPr>
    </w:p>
    <w:p w14:paraId="756C3585" w14:textId="77777777" w:rsidR="00056E65" w:rsidRDefault="00056E65">
      <w:pPr>
        <w:rPr>
          <w:rFonts w:ascii="Garamond" w:eastAsia="Garamond" w:hAnsi="Garamond" w:cs="Garamond"/>
          <w:sz w:val="30"/>
          <w:szCs w:val="30"/>
        </w:rPr>
      </w:pPr>
    </w:p>
    <w:p w14:paraId="534E38F5" w14:textId="77777777" w:rsidR="00056E65" w:rsidRDefault="00056E65">
      <w:pPr>
        <w:spacing w:line="276" w:lineRule="auto"/>
        <w:jc w:val="center"/>
        <w:rPr>
          <w:rFonts w:ascii="Arial" w:eastAsia="Arial" w:hAnsi="Arial" w:cs="Arial"/>
        </w:rPr>
      </w:pPr>
    </w:p>
    <w:p w14:paraId="7AEC02C4" w14:textId="332B69E5" w:rsidR="00056E65" w:rsidRDefault="002E4EBD">
      <w:pPr>
        <w:spacing w:line="276" w:lineRule="auto"/>
        <w:rPr>
          <w:rFonts w:ascii="Arial" w:eastAsia="Arial" w:hAnsi="Arial" w:cs="Arial"/>
        </w:rPr>
      </w:pPr>
      <w:r>
        <w:rPr>
          <w:rFonts w:ascii="Arial" w:eastAsia="Arial" w:hAnsi="Arial" w:cs="Arial"/>
          <w:b/>
          <w:u w:val="single"/>
        </w:rPr>
        <w:t xml:space="preserve">Contact: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sidR="002F7B45">
        <w:rPr>
          <w:rFonts w:ascii="Arial" w:eastAsia="Arial" w:hAnsi="Arial" w:cs="Arial"/>
          <w:b/>
        </w:rPr>
        <w:t>FOR IMMEDIATE RELEASE</w:t>
      </w:r>
    </w:p>
    <w:p w14:paraId="4B330B65" w14:textId="77777777" w:rsidR="00056E65" w:rsidRDefault="002E4EBD">
      <w:pPr>
        <w:spacing w:line="276" w:lineRule="auto"/>
        <w:rPr>
          <w:rFonts w:ascii="Arial" w:eastAsia="Arial" w:hAnsi="Arial" w:cs="Arial"/>
        </w:rPr>
      </w:pPr>
      <w:r>
        <w:rPr>
          <w:rFonts w:ascii="Arial" w:eastAsia="Arial" w:hAnsi="Arial" w:cs="Arial"/>
        </w:rPr>
        <w:t>Kristin Hawkins</w:t>
      </w:r>
    </w:p>
    <w:p w14:paraId="0048F4A4" w14:textId="77777777" w:rsidR="00056E65" w:rsidRDefault="002E4EBD">
      <w:pPr>
        <w:spacing w:line="276" w:lineRule="auto"/>
        <w:rPr>
          <w:rFonts w:ascii="Arial" w:eastAsia="Arial" w:hAnsi="Arial" w:cs="Arial"/>
        </w:rPr>
      </w:pPr>
      <w:r>
        <w:rPr>
          <w:rFonts w:ascii="Arial" w:eastAsia="Arial" w:hAnsi="Arial" w:cs="Arial"/>
        </w:rPr>
        <w:t>Senior Director of Public Relations</w:t>
      </w:r>
    </w:p>
    <w:p w14:paraId="09DDEDFB" w14:textId="77777777" w:rsidR="00056E65" w:rsidRDefault="002E4EBD">
      <w:pPr>
        <w:spacing w:line="276" w:lineRule="auto"/>
        <w:rPr>
          <w:rFonts w:ascii="Arial" w:eastAsia="Arial" w:hAnsi="Arial" w:cs="Arial"/>
        </w:rPr>
      </w:pPr>
      <w:r>
        <w:rPr>
          <w:rFonts w:ascii="Arial" w:eastAsia="Arial" w:hAnsi="Arial" w:cs="Arial"/>
        </w:rPr>
        <w:t>Hooker Furnishings</w:t>
      </w:r>
    </w:p>
    <w:p w14:paraId="21FF64B8" w14:textId="77777777" w:rsidR="00056E65" w:rsidRDefault="002E4EBD">
      <w:pPr>
        <w:spacing w:line="276" w:lineRule="auto"/>
        <w:rPr>
          <w:rFonts w:ascii="Arial" w:eastAsia="Arial" w:hAnsi="Arial" w:cs="Arial"/>
        </w:rPr>
      </w:pPr>
      <w:r>
        <w:rPr>
          <w:rFonts w:ascii="Arial" w:eastAsia="Arial" w:hAnsi="Arial" w:cs="Arial"/>
        </w:rPr>
        <w:t>khawkins@hookerfurnishings.com</w:t>
      </w:r>
    </w:p>
    <w:p w14:paraId="5DC7A0FA" w14:textId="77777777" w:rsidR="00056E65" w:rsidRDefault="00056E65">
      <w:pPr>
        <w:spacing w:line="276" w:lineRule="auto"/>
        <w:jc w:val="center"/>
        <w:rPr>
          <w:rFonts w:ascii="Arial" w:eastAsia="Arial" w:hAnsi="Arial" w:cs="Arial"/>
          <w:color w:val="000000"/>
        </w:rPr>
      </w:pPr>
    </w:p>
    <w:p w14:paraId="4E7785FA" w14:textId="77777777" w:rsidR="00056E65" w:rsidRDefault="002E4EBD">
      <w:pPr>
        <w:spacing w:line="276" w:lineRule="auto"/>
        <w:jc w:val="center"/>
        <w:rPr>
          <w:rFonts w:ascii="Arial" w:eastAsia="Arial" w:hAnsi="Arial" w:cs="Arial"/>
          <w:b/>
          <w:color w:val="000000"/>
          <w:highlight w:val="yellow"/>
        </w:rPr>
      </w:pPr>
      <w:r>
        <w:rPr>
          <w:rFonts w:ascii="Arial" w:eastAsia="Arial" w:hAnsi="Arial" w:cs="Arial"/>
          <w:b/>
        </w:rPr>
        <w:t xml:space="preserve">HOOKER FURNISHINGS ADDS UPHOLSTERED HEADBOARDS </w:t>
      </w:r>
      <w:r>
        <w:rPr>
          <w:rFonts w:ascii="Arial" w:eastAsia="Arial" w:hAnsi="Arial" w:cs="Arial"/>
          <w:b/>
        </w:rPr>
        <w:br/>
        <w:t xml:space="preserve">TO DREW &amp; JONATHAN HOME </w:t>
      </w:r>
      <w:r w:rsidRPr="0016017D">
        <w:rPr>
          <w:rFonts w:ascii="Arial" w:eastAsia="Arial" w:hAnsi="Arial" w:cs="Arial"/>
          <w:b/>
        </w:rPr>
        <w:t>BRAND</w:t>
      </w:r>
    </w:p>
    <w:p w14:paraId="5A5BA03C" w14:textId="77777777" w:rsidR="00056E65" w:rsidRDefault="00056E65">
      <w:pPr>
        <w:shd w:val="clear" w:color="auto" w:fill="FFFFFF"/>
        <w:spacing w:line="276" w:lineRule="auto"/>
        <w:jc w:val="both"/>
        <w:rPr>
          <w:rFonts w:ascii="Arial" w:eastAsia="Arial" w:hAnsi="Arial" w:cs="Arial"/>
        </w:rPr>
      </w:pPr>
    </w:p>
    <w:p w14:paraId="081F0487" w14:textId="6778E61E" w:rsidR="00056E65" w:rsidRDefault="002E4EBD">
      <w:pPr>
        <w:spacing w:line="276" w:lineRule="auto"/>
        <w:jc w:val="both"/>
        <w:rPr>
          <w:rFonts w:ascii="Arial" w:eastAsia="Arial" w:hAnsi="Arial" w:cs="Arial"/>
        </w:rPr>
      </w:pPr>
      <w:r>
        <w:rPr>
          <w:rFonts w:ascii="Arial" w:eastAsia="Arial" w:hAnsi="Arial" w:cs="Arial"/>
          <w:b/>
        </w:rPr>
        <w:t xml:space="preserve">MARTINSVILLE, VA, </w:t>
      </w:r>
      <w:r w:rsidR="002F7B45">
        <w:rPr>
          <w:rFonts w:ascii="Arial" w:eastAsia="Arial" w:hAnsi="Arial" w:cs="Arial"/>
          <w:b/>
        </w:rPr>
        <w:t>April 2024</w:t>
      </w:r>
      <w:r>
        <w:rPr>
          <w:rFonts w:ascii="Arial" w:eastAsia="Arial" w:hAnsi="Arial" w:cs="Arial"/>
          <w:b/>
        </w:rPr>
        <w:t xml:space="preserve"> – </w:t>
      </w:r>
      <w:r>
        <w:rPr>
          <w:rFonts w:ascii="Arial" w:eastAsia="Arial" w:hAnsi="Arial" w:cs="Arial"/>
        </w:rPr>
        <w:t xml:space="preserve">Building on the success of its Drew &amp; Jonathan Home brand in partnership with Scott Brothers Global, Hooker Furnishings’ Pulaski Furniture division will introduce upholstered headboards to its multi-collection line at the upcoming April High Point Market. The </w:t>
      </w:r>
      <w:r w:rsidR="005B200E">
        <w:rPr>
          <w:rFonts w:ascii="Arial" w:eastAsia="Arial" w:hAnsi="Arial" w:cs="Arial"/>
        </w:rPr>
        <w:t>initial</w:t>
      </w:r>
      <w:r>
        <w:rPr>
          <w:rFonts w:ascii="Arial" w:eastAsia="Arial" w:hAnsi="Arial" w:cs="Arial"/>
        </w:rPr>
        <w:t xml:space="preserve"> offering will feature a blend of styles ranging from timeless designs crafted from versatile, neutral fabrics, to more sophisticated silhouettes that incorporate elegant wood accents and playful fabrics.</w:t>
      </w:r>
    </w:p>
    <w:p w14:paraId="28FD63A5" w14:textId="77777777" w:rsidR="00056E65" w:rsidRDefault="00056E65">
      <w:pPr>
        <w:spacing w:line="276" w:lineRule="auto"/>
        <w:rPr>
          <w:rFonts w:ascii="Arial" w:eastAsia="Arial" w:hAnsi="Arial" w:cs="Arial"/>
        </w:rPr>
      </w:pPr>
    </w:p>
    <w:p w14:paraId="1BE4780D" w14:textId="5B56FC40" w:rsidR="00056E65" w:rsidRDefault="002E4EBD">
      <w:pPr>
        <w:spacing w:line="276" w:lineRule="auto"/>
        <w:jc w:val="both"/>
        <w:rPr>
          <w:rFonts w:ascii="Arial" w:eastAsia="Arial" w:hAnsi="Arial" w:cs="Arial"/>
        </w:rPr>
      </w:pPr>
      <w:r>
        <w:rPr>
          <w:rFonts w:ascii="Arial" w:eastAsia="Arial" w:hAnsi="Arial" w:cs="Arial"/>
        </w:rPr>
        <w:t xml:space="preserve">"Our new </w:t>
      </w:r>
      <w:r w:rsidR="00955141">
        <w:rPr>
          <w:rFonts w:ascii="Arial" w:eastAsia="Arial" w:hAnsi="Arial" w:cs="Arial"/>
        </w:rPr>
        <w:t xml:space="preserve">Drew &amp; Jonathan Home </w:t>
      </w:r>
      <w:r>
        <w:rPr>
          <w:rFonts w:ascii="Arial" w:eastAsia="Arial" w:hAnsi="Arial" w:cs="Arial"/>
        </w:rPr>
        <w:t>headboard collection is a testament to our commitment to providing consumers with quality, versatile pieces that reflect shifting individual style preferences," says Clark Caulder, Senior Vice President of Merchandising for Pulaski Furniture and Samuel Lawrence Furniture. "By offering a range of designs that can easily be mixed and matched with our existing bedroom collections, we aim to provide our customers with endless options to personalize their living spaces."</w:t>
      </w:r>
    </w:p>
    <w:p w14:paraId="26DE4CA9" w14:textId="77777777" w:rsidR="00056E65" w:rsidRDefault="00056E65">
      <w:pPr>
        <w:spacing w:line="276" w:lineRule="auto"/>
        <w:jc w:val="both"/>
        <w:rPr>
          <w:rFonts w:ascii="Arial" w:eastAsia="Arial" w:hAnsi="Arial" w:cs="Arial"/>
        </w:rPr>
      </w:pPr>
    </w:p>
    <w:p w14:paraId="392FC33D" w14:textId="77777777" w:rsidR="00056E65" w:rsidRDefault="002E4EBD">
      <w:pPr>
        <w:spacing w:line="276" w:lineRule="auto"/>
        <w:jc w:val="both"/>
        <w:rPr>
          <w:rFonts w:ascii="Arial" w:eastAsia="Arial" w:hAnsi="Arial" w:cs="Arial"/>
        </w:rPr>
      </w:pPr>
      <w:r>
        <w:rPr>
          <w:rFonts w:ascii="Arial" w:eastAsia="Arial" w:hAnsi="Arial" w:cs="Arial"/>
        </w:rPr>
        <w:t>For retailers, this collection provides an opportunity to expand their product offerings without compromising valuable floor space. "We understand the importance of maximizing ROI in a limited retail footprint," says Page Wilson, President of Hooker Furnishings’ HMI brands -- Pulaski Furniture, Samuel Lawrence Furniture, and PRI. "Our new upholstered headboard options provide retailers a way to increase revenue while catering to the diverse needs of their customers."</w:t>
      </w:r>
    </w:p>
    <w:p w14:paraId="7861DED0" w14:textId="77777777" w:rsidR="00056E65" w:rsidRDefault="00056E65">
      <w:pPr>
        <w:spacing w:line="276" w:lineRule="auto"/>
        <w:jc w:val="both"/>
        <w:rPr>
          <w:rFonts w:ascii="Arial" w:eastAsia="Arial" w:hAnsi="Arial" w:cs="Arial"/>
        </w:rPr>
      </w:pPr>
    </w:p>
    <w:p w14:paraId="5DADC1BB" w14:textId="51934369" w:rsidR="00056E65" w:rsidRDefault="002E4EBD">
      <w:pPr>
        <w:spacing w:line="276" w:lineRule="auto"/>
        <w:jc w:val="both"/>
        <w:rPr>
          <w:rFonts w:ascii="Arial" w:eastAsia="Arial" w:hAnsi="Arial" w:cs="Arial"/>
        </w:rPr>
      </w:pPr>
      <w:r>
        <w:rPr>
          <w:rFonts w:ascii="Arial" w:eastAsia="Arial" w:hAnsi="Arial" w:cs="Arial"/>
        </w:rPr>
        <w:t>The new headboard collection offers a variety of classic profiles featuring design elements such as button tufting, fabric channeling and nail head patterning. For a bolder look, there are tiered and cut-out silhouettes, dramatically shaped curves, and luxurious fabrics that will create a striking focal point in any bedroom design.</w:t>
      </w:r>
    </w:p>
    <w:p w14:paraId="6DEDF9A0" w14:textId="77777777" w:rsidR="00056E65" w:rsidRDefault="00056E65">
      <w:pPr>
        <w:spacing w:line="276" w:lineRule="auto"/>
        <w:jc w:val="both"/>
        <w:rPr>
          <w:rFonts w:ascii="Arial" w:eastAsia="Arial" w:hAnsi="Arial" w:cs="Arial"/>
        </w:rPr>
      </w:pPr>
    </w:p>
    <w:p w14:paraId="2CE2471F" w14:textId="494A6778" w:rsidR="00FD6C0A" w:rsidRDefault="002E4EBD">
      <w:pPr>
        <w:spacing w:line="276" w:lineRule="auto"/>
        <w:jc w:val="both"/>
        <w:rPr>
          <w:rFonts w:ascii="Arial" w:eastAsia="Arial" w:hAnsi="Arial" w:cs="Arial"/>
        </w:rPr>
      </w:pPr>
      <w:r>
        <w:rPr>
          <w:rFonts w:ascii="Arial" w:eastAsia="Arial" w:hAnsi="Arial" w:cs="Arial"/>
        </w:rPr>
        <w:t xml:space="preserve">With its focus on quality, design, and versatility, the entire Drew &amp; Jonathan Home collection empowers retailers and interior designers to fully express the creativity and individuality customers are seeking today. </w:t>
      </w:r>
    </w:p>
    <w:p w14:paraId="5D8E4F08" w14:textId="7CD5B088" w:rsidR="00056E65" w:rsidRDefault="002E4EBD">
      <w:pPr>
        <w:spacing w:line="276" w:lineRule="auto"/>
        <w:jc w:val="both"/>
        <w:rPr>
          <w:rFonts w:ascii="Arial" w:eastAsia="Arial" w:hAnsi="Arial" w:cs="Arial"/>
        </w:rPr>
      </w:pPr>
      <w:r>
        <w:rPr>
          <w:rFonts w:ascii="Arial" w:eastAsia="Arial" w:hAnsi="Arial" w:cs="Arial"/>
        </w:rPr>
        <w:t>"We are thrilled to</w:t>
      </w:r>
      <w:r w:rsidR="008403AC">
        <w:rPr>
          <w:rFonts w:ascii="Arial" w:eastAsia="Arial" w:hAnsi="Arial" w:cs="Arial"/>
        </w:rPr>
        <w:t xml:space="preserve"> expand our offerings to</w:t>
      </w:r>
      <w:r w:rsidR="00376470">
        <w:rPr>
          <w:rFonts w:ascii="Arial" w:eastAsia="Arial" w:hAnsi="Arial" w:cs="Arial"/>
        </w:rPr>
        <w:t xml:space="preserve"> help </w:t>
      </w:r>
      <w:r w:rsidR="00D61540">
        <w:rPr>
          <w:rFonts w:ascii="Arial" w:eastAsia="Arial" w:hAnsi="Arial" w:cs="Arial"/>
        </w:rPr>
        <w:t>families</w:t>
      </w:r>
      <w:r w:rsidR="00376470">
        <w:rPr>
          <w:rFonts w:ascii="Arial" w:eastAsia="Arial" w:hAnsi="Arial" w:cs="Arial"/>
        </w:rPr>
        <w:t xml:space="preserve"> reimagine what’s possible in their spaces</w:t>
      </w:r>
      <w:r w:rsidR="00D61540">
        <w:rPr>
          <w:rFonts w:ascii="Arial" w:eastAsia="Arial" w:hAnsi="Arial" w:cs="Arial"/>
        </w:rPr>
        <w:t xml:space="preserve">,” says Laura Aldrich, Scott Brothers </w:t>
      </w:r>
      <w:proofErr w:type="spellStart"/>
      <w:r w:rsidR="00D61540">
        <w:rPr>
          <w:rFonts w:ascii="Arial" w:eastAsia="Arial" w:hAnsi="Arial" w:cs="Arial"/>
        </w:rPr>
        <w:t>Global’s</w:t>
      </w:r>
      <w:proofErr w:type="spellEnd"/>
      <w:r w:rsidR="00D61540">
        <w:rPr>
          <w:rFonts w:ascii="Arial" w:eastAsia="Arial" w:hAnsi="Arial" w:cs="Arial"/>
        </w:rPr>
        <w:t xml:space="preserve"> Executive Vice President of Licensing. “Our new upholstered headboards make it easy for customers to </w:t>
      </w:r>
      <w:r w:rsidR="00376470">
        <w:rPr>
          <w:rFonts w:ascii="Arial" w:eastAsia="Arial" w:hAnsi="Arial" w:cs="Arial"/>
        </w:rPr>
        <w:t>showcase their individuality through styles that make a big impact with just a single piece</w:t>
      </w:r>
      <w:r w:rsidR="00FD6C0A">
        <w:rPr>
          <w:rFonts w:ascii="Arial" w:eastAsia="Arial" w:hAnsi="Arial" w:cs="Arial"/>
        </w:rPr>
        <w:t>.</w:t>
      </w:r>
      <w:r>
        <w:rPr>
          <w:rFonts w:ascii="Arial" w:eastAsia="Arial" w:hAnsi="Arial" w:cs="Arial"/>
        </w:rPr>
        <w:t xml:space="preserve">" </w:t>
      </w:r>
    </w:p>
    <w:p w14:paraId="377AD2EE" w14:textId="77777777" w:rsidR="00056E65" w:rsidRDefault="00056E65">
      <w:pPr>
        <w:spacing w:line="276" w:lineRule="auto"/>
        <w:jc w:val="both"/>
        <w:rPr>
          <w:rFonts w:ascii="Arial" w:eastAsia="Arial" w:hAnsi="Arial" w:cs="Arial"/>
        </w:rPr>
      </w:pPr>
    </w:p>
    <w:p w14:paraId="7DFAB2F3" w14:textId="77777777" w:rsidR="00056E65" w:rsidRDefault="002E4EBD">
      <w:pPr>
        <w:jc w:val="both"/>
        <w:rPr>
          <w:rFonts w:ascii="Arial" w:eastAsia="Arial" w:hAnsi="Arial" w:cs="Arial"/>
        </w:rPr>
      </w:pPr>
      <w:r>
        <w:rPr>
          <w:rFonts w:ascii="Arial" w:eastAsia="Arial" w:hAnsi="Arial" w:cs="Arial"/>
        </w:rPr>
        <w:t>The Upholstered Headboards as well as representative pieces from all collections within the Drew &amp; Jonathan Home brand will be on display in a dedicated space within the company’s 220 S. Elm location in High Point during the Spring 2024 Market.</w:t>
      </w:r>
    </w:p>
    <w:p w14:paraId="15B000DA" w14:textId="77777777" w:rsidR="00056E65" w:rsidRDefault="00056E65">
      <w:pPr>
        <w:spacing w:line="276" w:lineRule="auto"/>
        <w:rPr>
          <w:rFonts w:ascii="Arial" w:eastAsia="Arial" w:hAnsi="Arial" w:cs="Arial"/>
        </w:rPr>
      </w:pPr>
    </w:p>
    <w:p w14:paraId="1C1D6651" w14:textId="77777777" w:rsidR="00056E65" w:rsidRDefault="002E4EBD">
      <w:pPr>
        <w:spacing w:line="276" w:lineRule="auto"/>
        <w:jc w:val="both"/>
        <w:rPr>
          <w:rFonts w:ascii="Arial" w:eastAsia="Arial" w:hAnsi="Arial" w:cs="Arial"/>
        </w:rPr>
      </w:pPr>
      <w:r>
        <w:rPr>
          <w:rFonts w:ascii="Arial" w:eastAsia="Arial" w:hAnsi="Arial" w:cs="Arial"/>
        </w:rPr>
        <w:t>Headquartered in Martinsville, Va., </w:t>
      </w:r>
      <w:hyperlink r:id="rId7">
        <w:r>
          <w:rPr>
            <w:rFonts w:ascii="Arial" w:eastAsia="Arial" w:hAnsi="Arial" w:cs="Arial"/>
            <w:color w:val="0563C1"/>
            <w:u w:val="single"/>
          </w:rPr>
          <w:t>Hooker Furnishings</w:t>
        </w:r>
      </w:hyperlink>
      <w:r>
        <w:rPr>
          <w:rFonts w:ascii="Arial" w:eastAsia="Arial" w:hAnsi="Arial" w:cs="Arial"/>
        </w:rPr>
        <w:t xml:space="preserve"> is ranked among the nation's largest publicly traded furniture sources and encompasses 12 operating businesses. These brands include: </w:t>
      </w:r>
      <w:hyperlink r:id="rId8">
        <w:r>
          <w:rPr>
            <w:rFonts w:ascii="Arial" w:eastAsia="Arial" w:hAnsi="Arial" w:cs="Arial"/>
            <w:color w:val="0563C1"/>
            <w:u w:val="single"/>
          </w:rPr>
          <w:t>Hooker Furniture</w:t>
        </w:r>
      </w:hyperlink>
      <w:r>
        <w:rPr>
          <w:rFonts w:ascii="Arial" w:eastAsia="Arial" w:hAnsi="Arial" w:cs="Arial"/>
        </w:rPr>
        <w:t xml:space="preserve">, </w:t>
      </w:r>
      <w:hyperlink r:id="rId9">
        <w:r>
          <w:rPr>
            <w:rFonts w:ascii="Arial" w:eastAsia="Arial" w:hAnsi="Arial" w:cs="Arial"/>
            <w:color w:val="0563C1"/>
            <w:u w:val="single"/>
          </w:rPr>
          <w:t>Bradington-Young</w:t>
        </w:r>
      </w:hyperlink>
      <w:r>
        <w:rPr>
          <w:rFonts w:ascii="Arial" w:eastAsia="Arial" w:hAnsi="Arial" w:cs="Arial"/>
        </w:rPr>
        <w:t xml:space="preserve">, </w:t>
      </w:r>
      <w:hyperlink r:id="rId10">
        <w:r>
          <w:rPr>
            <w:rFonts w:ascii="Arial" w:eastAsia="Arial" w:hAnsi="Arial" w:cs="Arial"/>
            <w:color w:val="0563C1"/>
            <w:u w:val="single"/>
          </w:rPr>
          <w:t>HF Custom</w:t>
        </w:r>
      </w:hyperlink>
      <w:r>
        <w:rPr>
          <w:rFonts w:ascii="Arial" w:eastAsia="Arial" w:hAnsi="Arial" w:cs="Arial"/>
        </w:rPr>
        <w:t xml:space="preserve">, </w:t>
      </w:r>
      <w:hyperlink r:id="rId11">
        <w:r>
          <w:rPr>
            <w:rFonts w:ascii="Arial" w:eastAsia="Arial" w:hAnsi="Arial" w:cs="Arial"/>
            <w:color w:val="0563C1"/>
            <w:u w:val="single"/>
          </w:rPr>
          <w:t>Shenandoah Furniture</w:t>
        </w:r>
      </w:hyperlink>
      <w:r>
        <w:rPr>
          <w:rFonts w:ascii="Arial" w:eastAsia="Arial" w:hAnsi="Arial" w:cs="Arial"/>
        </w:rPr>
        <w:t xml:space="preserve">, </w:t>
      </w:r>
      <w:hyperlink r:id="rId12">
        <w:r>
          <w:rPr>
            <w:rFonts w:ascii="Arial" w:eastAsia="Arial" w:hAnsi="Arial" w:cs="Arial"/>
            <w:color w:val="0563C1"/>
            <w:u w:val="single"/>
          </w:rPr>
          <w:t>H Contract</w:t>
        </w:r>
      </w:hyperlink>
      <w:r>
        <w:rPr>
          <w:rFonts w:ascii="Arial" w:eastAsia="Arial" w:hAnsi="Arial" w:cs="Arial"/>
        </w:rPr>
        <w:t xml:space="preserve">, </w:t>
      </w:r>
      <w:hyperlink r:id="rId13">
        <w:r>
          <w:rPr>
            <w:rFonts w:ascii="Arial" w:eastAsia="Arial" w:hAnsi="Arial" w:cs="Arial"/>
            <w:color w:val="0563C1"/>
            <w:u w:val="single"/>
          </w:rPr>
          <w:t>M</w:t>
        </w:r>
      </w:hyperlink>
      <w:r>
        <w:rPr>
          <w:rFonts w:ascii="Arial" w:eastAsia="Arial" w:hAnsi="Arial" w:cs="Arial"/>
        </w:rPr>
        <w:t xml:space="preserve">, </w:t>
      </w:r>
      <w:hyperlink r:id="rId14">
        <w:r>
          <w:rPr>
            <w:rFonts w:ascii="Arial" w:eastAsia="Arial" w:hAnsi="Arial" w:cs="Arial"/>
            <w:color w:val="0563C1"/>
            <w:u w:val="single"/>
          </w:rPr>
          <w:t>BOBO Intriguing Objects</w:t>
        </w:r>
      </w:hyperlink>
      <w:r>
        <w:rPr>
          <w:rFonts w:ascii="Arial" w:eastAsia="Arial" w:hAnsi="Arial" w:cs="Arial"/>
        </w:rPr>
        <w:t xml:space="preserve">, </w:t>
      </w:r>
      <w:hyperlink r:id="rId15">
        <w:r>
          <w:rPr>
            <w:rFonts w:ascii="Arial" w:eastAsia="Arial" w:hAnsi="Arial" w:cs="Arial"/>
            <w:color w:val="0563C1"/>
            <w:u w:val="single"/>
          </w:rPr>
          <w:t xml:space="preserve">Pulaski </w:t>
        </w:r>
        <w:r>
          <w:rPr>
            <w:rFonts w:ascii="Arial" w:eastAsia="Arial" w:hAnsi="Arial" w:cs="Arial"/>
            <w:color w:val="0563C1"/>
            <w:u w:val="single"/>
          </w:rPr>
          <w:lastRenderedPageBreak/>
          <w:t>Furniture</w:t>
        </w:r>
      </w:hyperlink>
      <w:r>
        <w:rPr>
          <w:rFonts w:ascii="Arial" w:eastAsia="Arial" w:hAnsi="Arial" w:cs="Arial"/>
        </w:rPr>
        <w:t xml:space="preserve">, </w:t>
      </w:r>
      <w:hyperlink r:id="rId16">
        <w:r>
          <w:rPr>
            <w:rFonts w:ascii="Arial" w:eastAsia="Arial" w:hAnsi="Arial" w:cs="Arial"/>
            <w:color w:val="0563C1"/>
            <w:u w:val="single"/>
          </w:rPr>
          <w:t>Samuel Lawrence Furniture</w:t>
        </w:r>
      </w:hyperlink>
      <w:r>
        <w:rPr>
          <w:rFonts w:ascii="Arial" w:eastAsia="Arial" w:hAnsi="Arial" w:cs="Arial"/>
        </w:rPr>
        <w:t xml:space="preserve">, </w:t>
      </w:r>
      <w:hyperlink r:id="rId17">
        <w:r>
          <w:rPr>
            <w:rFonts w:ascii="Arial" w:eastAsia="Arial" w:hAnsi="Arial" w:cs="Arial"/>
            <w:color w:val="0563C1"/>
            <w:u w:val="single"/>
          </w:rPr>
          <w:t>Prime Resource International</w:t>
        </w:r>
      </w:hyperlink>
      <w:r>
        <w:rPr>
          <w:rFonts w:ascii="Arial" w:eastAsia="Arial" w:hAnsi="Arial" w:cs="Arial"/>
        </w:rPr>
        <w:t xml:space="preserve">, </w:t>
      </w:r>
      <w:hyperlink r:id="rId18">
        <w:r>
          <w:rPr>
            <w:rFonts w:ascii="Arial" w:eastAsia="Arial" w:hAnsi="Arial" w:cs="Arial"/>
            <w:color w:val="0563C1"/>
            <w:u w:val="single"/>
          </w:rPr>
          <w:t>Samuel Lawrence Hospitality</w:t>
        </w:r>
      </w:hyperlink>
      <w:r>
        <w:rPr>
          <w:rFonts w:ascii="Arial" w:eastAsia="Arial" w:hAnsi="Arial" w:cs="Arial"/>
        </w:rPr>
        <w:t xml:space="preserve">, and </w:t>
      </w:r>
      <w:hyperlink r:id="rId19">
        <w:r>
          <w:rPr>
            <w:rFonts w:ascii="Arial" w:eastAsia="Arial" w:hAnsi="Arial" w:cs="Arial"/>
            <w:color w:val="0563C1"/>
            <w:u w:val="single"/>
          </w:rPr>
          <w:t>Sunset West</w:t>
        </w:r>
      </w:hyperlink>
      <w:r>
        <w:rPr>
          <w:rFonts w:ascii="Arial" w:eastAsia="Arial" w:hAnsi="Arial" w:cs="Arial"/>
        </w:rPr>
        <w:t xml:space="preserve">.  </w:t>
      </w:r>
      <w:hyperlink r:id="rId20">
        <w:r>
          <w:rPr>
            <w:rFonts w:ascii="Arial" w:eastAsia="Arial" w:hAnsi="Arial" w:cs="Arial"/>
            <w:color w:val="0563C1"/>
            <w:u w:val="single"/>
          </w:rPr>
          <w:t>Hooker Furnishings Corporation's</w:t>
        </w:r>
      </w:hyperlink>
      <w:r>
        <w:rPr>
          <w:rFonts w:ascii="Arial" w:eastAsia="Arial" w:hAnsi="Arial" w:cs="Arial"/>
        </w:rPr>
        <w:t xml:space="preserve"> corporate offices and upholstery manufacturing facilities are located throughout Virginia and North Carolina, and the company has showrooms in High Point, North Carolina; Atlanta, Georgia; Las Vegas, Nevada; and Ho Chi Minh City, Vietnam. Hooker Furnishings operates distribution centers in the United States, China, and Vietnam. The company's stock is listed on the Nasdaq Global Select Market under the symbol HOFT. </w:t>
      </w:r>
    </w:p>
    <w:p w14:paraId="2EEAF0F7" w14:textId="77777777" w:rsidR="00056E65" w:rsidRDefault="00056E65">
      <w:pPr>
        <w:shd w:val="clear" w:color="auto" w:fill="FFFFFF"/>
        <w:spacing w:line="276" w:lineRule="auto"/>
        <w:rPr>
          <w:rFonts w:ascii="Arial" w:eastAsia="Arial" w:hAnsi="Arial" w:cs="Arial"/>
          <w:color w:val="000000"/>
          <w:highlight w:val="white"/>
        </w:rPr>
      </w:pPr>
    </w:p>
    <w:p w14:paraId="062B0EC6" w14:textId="77777777" w:rsidR="00056E65" w:rsidRDefault="002E4EBD">
      <w:pPr>
        <w:jc w:val="center"/>
        <w:rPr>
          <w:rFonts w:ascii="Arial" w:eastAsia="Arial" w:hAnsi="Arial" w:cs="Arial"/>
        </w:rPr>
      </w:pPr>
      <w:r>
        <w:rPr>
          <w:rFonts w:ascii="Arial" w:eastAsia="Arial" w:hAnsi="Arial" w:cs="Arial"/>
          <w:color w:val="000000"/>
        </w:rPr>
        <w:t>###</w:t>
      </w:r>
      <w:r>
        <w:rPr>
          <w:noProof/>
        </w:rPr>
        <mc:AlternateContent>
          <mc:Choice Requires="wps">
            <w:drawing>
              <wp:anchor distT="0" distB="0" distL="114300" distR="114300" simplePos="0" relativeHeight="251659264" behindDoc="0" locked="0" layoutInCell="1" hidden="0" allowOverlap="1" wp14:anchorId="53B992B2" wp14:editId="113D96CD">
                <wp:simplePos x="0" y="0"/>
                <wp:positionH relativeFrom="column">
                  <wp:posOffset>-901699</wp:posOffset>
                </wp:positionH>
                <wp:positionV relativeFrom="paragraph">
                  <wp:posOffset>8382000</wp:posOffset>
                </wp:positionV>
                <wp:extent cx="7820025" cy="566420"/>
                <wp:effectExtent l="0" t="0" r="0" b="0"/>
                <wp:wrapNone/>
                <wp:docPr id="4" name="Rectangle 4"/>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350A8AFB" w14:textId="77777777" w:rsidR="00056E65" w:rsidRDefault="00056E65">
                            <w:pPr>
                              <w:textDirection w:val="btLr"/>
                            </w:pPr>
                          </w:p>
                          <w:p w14:paraId="70828C5C" w14:textId="77777777" w:rsidR="00056E65" w:rsidRDefault="00056E65">
                            <w:pPr>
                              <w:textDirection w:val="btLr"/>
                            </w:pPr>
                          </w:p>
                        </w:txbxContent>
                      </wps:txbx>
                      <wps:bodyPr spcFirstLastPara="1" wrap="square" lIns="91425" tIns="91425" rIns="91425" bIns="91425" anchor="ctr" anchorCtr="0">
                        <a:noAutofit/>
                      </wps:bodyPr>
                    </wps:wsp>
                  </a:graphicData>
                </a:graphic>
              </wp:anchor>
            </w:drawing>
          </mc:Choice>
          <mc:Fallback>
            <w:pict>
              <v:rect w14:anchorId="53B992B2" id="Rectangle 4" o:spid="_x0000_s1026" style="position:absolute;left:0;text-align:left;margin-left:-71pt;margin-top:660pt;width:615.75pt;height:44.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" fillcolor="black" stroked="f">
                <v:textbox inset="2.53958mm,2.53958mm,2.53958mm,2.53958mm">
                  <w:txbxContent>
                    <w:p w14:paraId="350A8AFB" w14:textId="77777777" w:rsidR="00056E65" w:rsidRDefault="00056E65">
                      <w:pPr>
                        <w:textDirection w:val="btLr"/>
                      </w:pPr>
                    </w:p>
                    <w:p w14:paraId="70828C5C" w14:textId="77777777" w:rsidR="00056E65" w:rsidRDefault="00056E65">
                      <w:pPr>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02CEEBAD" wp14:editId="5733FDF9">
                <wp:simplePos x="0" y="0"/>
                <wp:positionH relativeFrom="column">
                  <wp:posOffset>-812799</wp:posOffset>
                </wp:positionH>
                <wp:positionV relativeFrom="paragraph">
                  <wp:posOffset>8509000</wp:posOffset>
                </wp:positionV>
                <wp:extent cx="7633970" cy="306070"/>
                <wp:effectExtent l="0" t="0" r="0" b="0"/>
                <wp:wrapNone/>
                <wp:docPr id="3" name="Rectangle 3"/>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160F7554" w14:textId="77777777" w:rsidR="00056E65" w:rsidRDefault="002E4EBD">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6A14C478" w14:textId="77777777" w:rsidR="00056E65" w:rsidRDefault="00056E65">
                            <w:pPr>
                              <w:textDirection w:val="btLr"/>
                            </w:pPr>
                          </w:p>
                          <w:p w14:paraId="39C22F33" w14:textId="77777777" w:rsidR="00056E65" w:rsidRDefault="00056E65">
                            <w:pPr>
                              <w:textDirection w:val="btLr"/>
                            </w:pPr>
                          </w:p>
                        </w:txbxContent>
                      </wps:txbx>
                      <wps:bodyPr spcFirstLastPara="1" wrap="square" lIns="91425" tIns="45700" rIns="91425" bIns="45700" anchor="t" anchorCtr="0">
                        <a:noAutofit/>
                      </wps:bodyPr>
                    </wps:wsp>
                  </a:graphicData>
                </a:graphic>
              </wp:anchor>
            </w:drawing>
          </mc:Choice>
          <mc:Fallback>
            <w:pict>
              <v:rect w14:anchorId="02CEEBAD" id="Rectangle 3" o:spid="_x0000_s1027" style="position:absolute;left:0;text-align:left;margin-left:-64pt;margin-top:670pt;width:601.1pt;height:24.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" filled="f">
                <v:stroke startarrowwidth="narrow" startarrowlength="short" endarrowwidth="narrow" endarrowlength="short"/>
                <v:textbox inset="2.53958mm,1.2694mm,2.53958mm,1.2694mm">
                  <w:txbxContent>
                    <w:p w14:paraId="160F7554" w14:textId="77777777" w:rsidR="00056E65" w:rsidRDefault="002E4EBD">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6A14C478" w14:textId="77777777" w:rsidR="00056E65" w:rsidRDefault="00056E65">
                      <w:pPr>
                        <w:textDirection w:val="btLr"/>
                      </w:pPr>
                    </w:p>
                    <w:p w14:paraId="39C22F33" w14:textId="77777777" w:rsidR="00056E65" w:rsidRDefault="00056E65">
                      <w:pPr>
                        <w:textDirection w:val="btLr"/>
                      </w:pPr>
                    </w:p>
                  </w:txbxContent>
                </v:textbox>
              </v:rect>
            </w:pict>
          </mc:Fallback>
        </mc:AlternateContent>
      </w:r>
    </w:p>
    <w:sectPr w:rsidR="00056E65">
      <w:footerReference w:type="default" r:id="rId21"/>
      <w:pgSz w:w="12240" w:h="15840"/>
      <w:pgMar w:top="1080" w:right="1440" w:bottom="117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136F6" w14:textId="77777777" w:rsidR="0090146F" w:rsidRDefault="0090146F">
      <w:r>
        <w:separator/>
      </w:r>
    </w:p>
  </w:endnote>
  <w:endnote w:type="continuationSeparator" w:id="0">
    <w:p w14:paraId="58BAE318" w14:textId="77777777" w:rsidR="0090146F" w:rsidRDefault="00901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Quattrocento Sans">
    <w:charset w:val="00"/>
    <w:family w:val="swiss"/>
    <w:pitch w:val="variable"/>
    <w:sig w:usb0="800000BF" w:usb1="4000005B"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434F6" w14:textId="77777777" w:rsidR="00056E65" w:rsidRDefault="002E4EBD">
    <w:pPr>
      <w:pBdr>
        <w:top w:val="nil"/>
        <w:left w:val="nil"/>
        <w:bottom w:val="nil"/>
        <w:right w:val="nil"/>
        <w:between w:val="nil"/>
      </w:pBdr>
      <w:rPr>
        <w:color w:val="000000"/>
      </w:rPr>
    </w:pPr>
    <w:r>
      <w:rPr>
        <w:noProof/>
      </w:rPr>
      <mc:AlternateContent>
        <mc:Choice Requires="wps">
          <w:drawing>
            <wp:anchor distT="0" distB="0" distL="114300" distR="114300" simplePos="0" relativeHeight="251658240" behindDoc="0" locked="0" layoutInCell="1" hidden="0" allowOverlap="1" wp14:anchorId="64D46C51" wp14:editId="444C457A">
              <wp:simplePos x="0" y="0"/>
              <wp:positionH relativeFrom="column">
                <wp:posOffset>-812799</wp:posOffset>
              </wp:positionH>
              <wp:positionV relativeFrom="paragraph">
                <wp:posOffset>-215899</wp:posOffset>
              </wp:positionV>
              <wp:extent cx="7605395" cy="276860"/>
              <wp:effectExtent l="0" t="0" r="0" b="0"/>
              <wp:wrapNone/>
              <wp:docPr id="2" name="Rectangle 2"/>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071108F7" w14:textId="77777777" w:rsidR="00056E65" w:rsidRDefault="002E4EBD">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3391AD4B" w14:textId="77777777" w:rsidR="00056E65" w:rsidRDefault="00056E65">
                          <w:pPr>
                            <w:textDirection w:val="btLr"/>
                          </w:pPr>
                        </w:p>
                      </w:txbxContent>
                    </wps:txbx>
                    <wps:bodyPr spcFirstLastPara="1" wrap="square" lIns="91425" tIns="45700" rIns="91425" bIns="45700" anchor="t" anchorCtr="0">
                      <a:noAutofit/>
                    </wps:bodyPr>
                  </wps:wsp>
                </a:graphicData>
              </a:graphic>
            </wp:anchor>
          </w:drawing>
        </mc:Choice>
        <mc:Fallback>
          <w:pict>
            <v:rect w14:anchorId="64D46C51" id="Rectangle 2" o:spid="_x0000_s1028" style="position:absolute;margin-left:-64pt;margin-top:-17pt;width:598.85pt;height:21.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" filled="f">
              <v:stroke startarrowwidth="narrow" startarrowlength="short" endarrowwidth="narrow" endarrowlength="short"/>
              <v:textbox inset="2.53958mm,1.2694mm,2.53958mm,1.2694mm">
                <w:txbxContent>
                  <w:p w14:paraId="071108F7" w14:textId="77777777" w:rsidR="00056E65" w:rsidRDefault="002E4EBD">
                    <w:pPr>
                      <w:jc w:val="center"/>
                      <w:textDirection w:val="btLr"/>
                    </w:pPr>
                    <w:r>
                      <w:rPr>
                        <w:rFonts w:ascii="Garamond" w:eastAsia="Garamond" w:hAnsi="Garamond" w:cs="Garamond"/>
                        <w:color w:val="FFFFFF"/>
                        <w:sz w:val="22"/>
                      </w:rPr>
                      <w:t>BOBO | BY | H Contract | HF Custom | Hooker Furniture | M | PRI | Pulaski | Shenandoah | SLF | SLH | Sunset West</w:t>
                    </w:r>
                  </w:p>
                  <w:p w14:paraId="3391AD4B" w14:textId="77777777" w:rsidR="00056E65" w:rsidRDefault="00056E65">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3D12424C" wp14:editId="00862372">
              <wp:simplePos x="0" y="0"/>
              <wp:positionH relativeFrom="column">
                <wp:posOffset>-901699</wp:posOffset>
              </wp:positionH>
              <wp:positionV relativeFrom="paragraph">
                <wp:posOffset>-342899</wp:posOffset>
              </wp:positionV>
              <wp:extent cx="7791450" cy="537845"/>
              <wp:effectExtent l="0" t="0" r="0" b="0"/>
              <wp:wrapNone/>
              <wp:docPr id="1" name="Rectangle 1"/>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22F571EF" w14:textId="77777777" w:rsidR="00056E65" w:rsidRDefault="00056E65">
                          <w:pPr>
                            <w:textDirection w:val="btLr"/>
                          </w:pPr>
                        </w:p>
                      </w:txbxContent>
                    </wps:txbx>
                    <wps:bodyPr spcFirstLastPara="1" wrap="square" lIns="91425" tIns="91425" rIns="91425" bIns="91425" anchor="ctr" anchorCtr="0">
                      <a:noAutofit/>
                    </wps:bodyPr>
                  </wps:wsp>
                </a:graphicData>
              </a:graphic>
            </wp:anchor>
          </w:drawing>
        </mc:Choice>
        <mc:Fallback>
          <w:pict>
            <v:rect w14:anchorId="3D12424C" id="Rectangle 1" o:spid="_x0000_s1029" style="position:absolute;margin-left:-71pt;margin-top:-27pt;width:613.5pt;height:42.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" fillcolor="black" stroked="f">
              <v:textbox inset="2.53958mm,2.53958mm,2.53958mm,2.53958mm">
                <w:txbxContent>
                  <w:p w14:paraId="22F571EF" w14:textId="77777777" w:rsidR="00056E65" w:rsidRDefault="00056E65">
                    <w:pPr>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124AF2" w14:textId="77777777" w:rsidR="0090146F" w:rsidRDefault="0090146F">
      <w:r>
        <w:separator/>
      </w:r>
    </w:p>
  </w:footnote>
  <w:footnote w:type="continuationSeparator" w:id="0">
    <w:p w14:paraId="180326AE" w14:textId="77777777" w:rsidR="0090146F" w:rsidRDefault="009014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E65"/>
    <w:rsid w:val="00051C12"/>
    <w:rsid w:val="00056E65"/>
    <w:rsid w:val="0016017D"/>
    <w:rsid w:val="0022486B"/>
    <w:rsid w:val="002E4EBD"/>
    <w:rsid w:val="002F7B45"/>
    <w:rsid w:val="00376470"/>
    <w:rsid w:val="004053E8"/>
    <w:rsid w:val="005B200E"/>
    <w:rsid w:val="008403AC"/>
    <w:rsid w:val="0090146F"/>
    <w:rsid w:val="00955141"/>
    <w:rsid w:val="00A25331"/>
    <w:rsid w:val="00CD5F42"/>
    <w:rsid w:val="00D61540"/>
    <w:rsid w:val="00DB74AB"/>
    <w:rsid w:val="00E017B9"/>
    <w:rsid w:val="00FD6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911A9"/>
  <w15:docId w15:val="{B0CB49A7-E200-49DB-B5E0-39ACD29DC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attrocento Sans" w:eastAsia="Quattrocento Sans" w:hAnsi="Quattrocento Sans" w:cs="Quattrocento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40" w:line="288" w:lineRule="auto"/>
      <w:outlineLvl w:val="2"/>
    </w:pPr>
    <w:rPr>
      <w:color w:val="00000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Revision">
    <w:name w:val="Revision"/>
    <w:hidden/>
    <w:uiPriority w:val="99"/>
    <w:semiHidden/>
    <w:rsid w:val="005B2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hookerfurniture.com/" TargetMode="External"/><Relationship Id="rId13" Type="http://schemas.openxmlformats.org/officeDocument/2006/relationships/hyperlink" Target="https://www.mfurnishings.com/" TargetMode="External"/><Relationship Id="rId18" Type="http://schemas.openxmlformats.org/officeDocument/2006/relationships/hyperlink" Target="http://www.slh-co.com/"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hookerfurnishings.com/" TargetMode="External"/><Relationship Id="rId12" Type="http://schemas.openxmlformats.org/officeDocument/2006/relationships/hyperlink" Target="https://www.hcontractfurniture.com/" TargetMode="External"/><Relationship Id="rId17" Type="http://schemas.openxmlformats.org/officeDocument/2006/relationships/hyperlink" Target="https://www.pri-co.com/" TargetMode="External"/><Relationship Id="rId2" Type="http://schemas.openxmlformats.org/officeDocument/2006/relationships/settings" Target="settings.xml"/><Relationship Id="rId16" Type="http://schemas.openxmlformats.org/officeDocument/2006/relationships/hyperlink" Target="https://www.slf-co.com/" TargetMode="External"/><Relationship Id="rId20" Type="http://schemas.openxmlformats.org/officeDocument/2006/relationships/hyperlink" Target="https://www.hookerfurnishings.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shenandoahfurniture.com/" TargetMode="External"/><Relationship Id="rId5" Type="http://schemas.openxmlformats.org/officeDocument/2006/relationships/endnotes" Target="endnotes.xml"/><Relationship Id="rId15" Type="http://schemas.openxmlformats.org/officeDocument/2006/relationships/hyperlink" Target="https://www.pulaskifurniture.com/" TargetMode="External"/><Relationship Id="rId23" Type="http://schemas.openxmlformats.org/officeDocument/2006/relationships/theme" Target="theme/theme1.xml"/><Relationship Id="rId10" Type="http://schemas.openxmlformats.org/officeDocument/2006/relationships/hyperlink" Target="https://www.sammoore.com/" TargetMode="External"/><Relationship Id="rId19" Type="http://schemas.openxmlformats.org/officeDocument/2006/relationships/hyperlink" Target="https://sunsetwestusa.com/" TargetMode="External"/><Relationship Id="rId4" Type="http://schemas.openxmlformats.org/officeDocument/2006/relationships/footnotes" Target="footnotes.xml"/><Relationship Id="rId9" Type="http://schemas.openxmlformats.org/officeDocument/2006/relationships/hyperlink" Target="https://www.bradington-young.com/" TargetMode="External"/><Relationship Id="rId14" Type="http://schemas.openxmlformats.org/officeDocument/2006/relationships/hyperlink" Target="https://bobointriguingobjects.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659</Words>
  <Characters>3759</Characters>
  <Application>Microsoft Office Word</Application>
  <DocSecurity>0</DocSecurity>
  <Lines>31</Lines>
  <Paragraphs>8</Paragraphs>
  <ScaleCrop>false</ScaleCrop>
  <Company/>
  <LinksUpToDate>false</LinksUpToDate>
  <CharactersWithSpaces>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 Hawkins</dc:creator>
  <cp:lastModifiedBy>Kristin Hawkins</cp:lastModifiedBy>
  <cp:revision>5</cp:revision>
  <dcterms:created xsi:type="dcterms:W3CDTF">2024-04-10T03:00:00Z</dcterms:created>
  <dcterms:modified xsi:type="dcterms:W3CDTF">2024-04-10T03:02:00Z</dcterms:modified>
</cp:coreProperties>
</file>